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428" w:line="201" w:lineRule="auto"/>
        <w:outlineLvl w:val="0"/>
        <w:jc w:val="right"/>
        <w:rPr>
          <w:sz w:val="100"/>
          <w:szCs w:val="100"/>
        </w:rPr>
      </w:pPr>
      <w:r>
        <w:rPr>
          <w:sz w:val="100"/>
          <w:szCs w:val="100"/>
          <w:color w:val="FF0000"/>
          <w14:textOutline w14:w="14543" w14:cap="sq" w14:cmpd="sng">
            <w14:solidFill>
              <w14:srgbClr w14:val="FF0000"/>
            </w14:solidFill>
            <w14:prstDash w14:val="solid"/>
            <w14:bevel/>
          </w14:textOutline>
          <w:spacing w:val="-17"/>
          <w:w w:val="61"/>
        </w:rPr>
        <w:t>广州市</w:t>
      </w:r>
      <w:r>
        <w:rPr>
          <w:sz w:val="100"/>
          <w:szCs w:val="100"/>
          <w:color w:val="FF0000"/>
          <w14:textOutline w14:w="14543" w14:cap="sq" w14:cmpd="sng">
            <w14:solidFill>
              <w14:srgbClr w14:val="FF0000"/>
            </w14:solidFill>
            <w14:prstDash w14:val="solid"/>
            <w14:bevel/>
          </w14:textOutline>
          <w:spacing w:val="-16"/>
          <w:w w:val="61"/>
        </w:rPr>
        <w:t>建设工程造价管理站文</w:t>
      </w:r>
      <w:r>
        <w:rPr>
          <w:sz w:val="100"/>
          <w:szCs w:val="100"/>
          <w:color w:val="FF0000"/>
          <w14:textOutline w14:w="14543" w14:cap="sq" w14:cmpd="sng">
            <w14:solidFill>
              <w14:srgbClr w14:val="FF0000"/>
            </w14:solidFill>
            <w14:prstDash w14:val="solid"/>
            <w14:bevel/>
          </w14:textOutline>
          <w:spacing w:val="-13"/>
          <w:w w:val="61"/>
        </w:rPr>
        <w:t>件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2861"/>
        <w:spacing w:before="133" w:line="203" w:lineRule="auto"/>
        <w:rPr/>
      </w:pPr>
      <w:r>
        <w:rPr>
          <w:spacing w:val="-8"/>
        </w:rPr>
        <w:t>穗建造价〔2025〕99 号</w:t>
      </w:r>
    </w:p>
    <w:p>
      <w:pPr>
        <w:spacing w:before="30" w:line="30" w:lineRule="exact"/>
        <w:rPr/>
      </w:pPr>
      <w:r>
        <w:rPr/>
        <w:drawing>
          <wp:inline distT="0" distB="0" distL="0" distR="0">
            <wp:extent cx="5486400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64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261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广州市建设工程造价管理站关于发布广州市</w:t>
      </w:r>
    </w:p>
    <w:p>
      <w:pPr>
        <w:ind w:left="1107"/>
        <w:spacing w:before="41" w:line="565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  <w:position w:val="1"/>
        </w:rPr>
        <w:t>2025</w:t>
      </w:r>
      <w:r>
        <w:rPr>
          <w:rFonts w:ascii="SimSun" w:hAnsi="SimSun" w:eastAsia="SimSun" w:cs="SimSun"/>
          <w:sz w:val="43"/>
          <w:szCs w:val="43"/>
          <w:spacing w:val="-95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  <w:position w:val="1"/>
        </w:rPr>
        <w:t>年</w:t>
      </w:r>
      <w:r>
        <w:rPr>
          <w:rFonts w:ascii="SimSun" w:hAnsi="SimSun" w:eastAsia="SimSun" w:cs="SimSun"/>
          <w:sz w:val="43"/>
          <w:szCs w:val="43"/>
          <w:spacing w:val="-97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  <w:position w:val="1"/>
        </w:rPr>
        <w:t>6</w:t>
      </w:r>
      <w:r>
        <w:rPr>
          <w:rFonts w:ascii="SimSun" w:hAnsi="SimSun" w:eastAsia="SimSun" w:cs="SimSun"/>
          <w:sz w:val="43"/>
          <w:szCs w:val="43"/>
          <w:spacing w:val="-82"/>
          <w:position w:val="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  <w:position w:val="1"/>
        </w:rPr>
        <w:t>月份建筑工程实物量劳务</w:t>
      </w:r>
    </w:p>
    <w:p>
      <w:pPr>
        <w:ind w:left="2025"/>
        <w:spacing w:before="2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综合单价参考信息的通知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34" w:line="204" w:lineRule="auto"/>
        <w:rPr/>
      </w:pPr>
      <w:r>
        <w:rPr>
          <w:spacing w:val="5"/>
        </w:rPr>
        <w:t>各有关单位：</w:t>
      </w:r>
    </w:p>
    <w:p>
      <w:pPr>
        <w:pStyle w:val="BodyText"/>
        <w:ind w:left="18" w:firstLine="643"/>
        <w:spacing w:before="8" w:line="207" w:lineRule="auto"/>
        <w:jc w:val="both"/>
        <w:rPr/>
      </w:pPr>
      <w:r>
        <w:rPr>
          <w:spacing w:val="3"/>
        </w:rPr>
        <w:t>现发布 2025 年 6 月份建筑工程部分实物量劳</w:t>
      </w:r>
      <w:r>
        <w:rPr>
          <w:spacing w:val="2"/>
        </w:rPr>
        <w:t>务综合单价参</w:t>
      </w:r>
      <w:r>
        <w:rPr/>
        <w:t xml:space="preserve"> </w:t>
      </w:r>
      <w:r>
        <w:rPr>
          <w:spacing w:val="5"/>
        </w:rPr>
        <w:t>考信息。该参考信息旨在反映建筑工程劳务市场价格行情，为相</w:t>
      </w:r>
      <w:r>
        <w:rPr>
          <w:spacing w:val="3"/>
        </w:rPr>
        <w:t xml:space="preserve"> </w:t>
      </w:r>
      <w:r>
        <w:rPr>
          <w:spacing w:val="10"/>
        </w:rPr>
        <w:t>关单位测算工程成本</w:t>
      </w:r>
      <w:r>
        <w:rPr>
          <w:spacing w:val="-27"/>
        </w:rPr>
        <w:t xml:space="preserve"> </w:t>
      </w:r>
      <w:r>
        <w:rPr>
          <w:spacing w:val="10"/>
        </w:rPr>
        <w:t>，</w:t>
      </w:r>
      <w:r>
        <w:rPr>
          <w:spacing w:val="-58"/>
        </w:rPr>
        <w:t xml:space="preserve"> </w:t>
      </w:r>
      <w:r>
        <w:rPr>
          <w:spacing w:val="10"/>
        </w:rPr>
        <w:t>签订劳务合同提供参考,其测算方法与我</w:t>
      </w:r>
      <w:r>
        <w:rPr/>
        <w:t xml:space="preserve"> </w:t>
      </w:r>
      <w:r>
        <w:rPr>
          <w:spacing w:val="5"/>
        </w:rPr>
        <w:t>站每月发布价格信息的人工日工资价格有所区别，不作为工程预</w:t>
      </w:r>
      <w:r>
        <w:rPr>
          <w:spacing w:val="6"/>
        </w:rPr>
        <w:t xml:space="preserve"> </w:t>
      </w:r>
      <w:r>
        <w:rPr>
          <w:spacing w:val="4"/>
        </w:rPr>
        <w:t>结算</w:t>
      </w:r>
      <w:r>
        <w:rPr>
          <w:spacing w:val="-54"/>
        </w:rPr>
        <w:t xml:space="preserve"> </w:t>
      </w:r>
      <w:r>
        <w:rPr>
          <w:spacing w:val="4"/>
        </w:rPr>
        <w:t>、最高投标限价、司法鉴定、处理工程造价争议及</w:t>
      </w:r>
      <w:r>
        <w:rPr>
          <w:spacing w:val="3"/>
        </w:rPr>
        <w:t>其它纠纷</w:t>
      </w:r>
      <w:r>
        <w:rPr/>
        <w:t xml:space="preserve"> </w:t>
      </w:r>
      <w:r>
        <w:rPr>
          <w:spacing w:val="2"/>
        </w:rPr>
        <w:t>的依据。</w:t>
      </w:r>
    </w:p>
    <w:p>
      <w:pPr>
        <w:pStyle w:val="BodyText"/>
        <w:ind w:left="19" w:firstLine="638"/>
        <w:spacing w:before="4" w:line="207" w:lineRule="auto"/>
        <w:jc w:val="both"/>
        <w:rPr/>
      </w:pPr>
      <w:r>
        <w:rPr>
          <w:spacing w:val="17"/>
        </w:rPr>
        <w:t>建筑工程实物量劳务综合单价参考信息是经过收集广州地</w:t>
      </w:r>
      <w:r>
        <w:rPr>
          <w:spacing w:val="11"/>
        </w:rPr>
        <w:t xml:space="preserve"> </w:t>
      </w:r>
      <w:r>
        <w:rPr>
          <w:spacing w:val="5"/>
        </w:rPr>
        <w:t>区劳务价格市场情况，整理汇总而成。实物量劳务综合单价包含</w:t>
      </w:r>
      <w:r>
        <w:rPr>
          <w:spacing w:val="2"/>
        </w:rPr>
        <w:t xml:space="preserve"> </w:t>
      </w:r>
      <w:r>
        <w:rPr>
          <w:spacing w:val="4"/>
        </w:rPr>
        <w:t>了工资性收入、社会保险费</w:t>
      </w:r>
      <w:r>
        <w:rPr>
          <w:spacing w:val="-54"/>
        </w:rPr>
        <w:t xml:space="preserve"> </w:t>
      </w:r>
      <w:r>
        <w:rPr>
          <w:spacing w:val="4"/>
        </w:rPr>
        <w:t>、住房公积金、工会经费</w:t>
      </w:r>
      <w:r>
        <w:rPr>
          <w:spacing w:val="3"/>
        </w:rPr>
        <w:t>、职工教育</w:t>
      </w:r>
      <w:r>
        <w:rPr/>
        <w:t xml:space="preserve"> </w:t>
      </w:r>
      <w:r>
        <w:rPr>
          <w:spacing w:val="5"/>
        </w:rPr>
        <w:t>经费、职工福利费及特殊情况下支付的工资等，其各工种工作内 </w:t>
      </w:r>
      <w:r>
        <w:rPr>
          <w:spacing w:val="9"/>
        </w:rPr>
        <w:t>容已包括主要施工工艺作业和辅助作业。</w:t>
      </w:r>
    </w:p>
    <w:p>
      <w:pPr>
        <w:spacing w:line="207" w:lineRule="auto"/>
        <w:sectPr>
          <w:footerReference w:type="default" r:id="rId1"/>
          <w:pgSz w:w="11907" w:h="16840"/>
          <w:pgMar w:top="1431" w:right="1587" w:bottom="1374" w:left="1473" w:header="0" w:footer="111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pgSz w:w="11900" w:h="1684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8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2"/>
      </w:rPr>
      <w:t xml:space="preserve">  </w:t>
    </w:r>
    <w:r>
      <w:rPr>
        <w:rFonts w:ascii="Arial" w:hAnsi="Arial" w:eastAsia="Arial" w:cs="Arial"/>
        <w:sz w:val="28"/>
        <w:szCs w:val="28"/>
        <w:spacing w:val="-12"/>
      </w:rPr>
      <w:t>1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HardCopy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杜娟</dc:creator>
  <dcterms:created xsi:type="dcterms:W3CDTF">2025-07-15T17:21:29Z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2025-07-25T13:50:51</vt:filetime>
  </property>
</Properties>
</file>